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D605" w14:textId="5734C3BA" w:rsidR="00A32C23" w:rsidRDefault="00F6371C" w:rsidP="00CD30C6">
      <w:pPr>
        <w:jc w:val="both"/>
        <w:rPr>
          <w:rFonts w:ascii="Arial" w:hAnsi="Arial" w:cs="Arial"/>
          <w:b/>
          <w:sz w:val="22"/>
          <w:szCs w:val="22"/>
          <w:lang w:val="eu-ES"/>
        </w:rPr>
      </w:pPr>
      <w:r w:rsidRPr="00F6371C">
        <w:rPr>
          <w:rFonts w:ascii="Arial" w:hAnsi="Arial" w:cs="Arial"/>
          <w:b/>
          <w:sz w:val="22"/>
          <w:szCs w:val="22"/>
          <w:lang w:val="eu-ES"/>
        </w:rPr>
        <w:t>AURRETIAZKO KONTSULTA PUBLIKOA, MERKATARITZA ESTABLEZIMENDU HANDIEN LURRALDE ANTOLAMENDUARI BURUZKO EKAINAREN 27KO 10/2019 LEGEA GARATZEN DUEN DEKRETU-PROIEKTUARI BURUZKOA</w:t>
      </w:r>
    </w:p>
    <w:p w14:paraId="546A091D" w14:textId="1E45A671" w:rsidR="00F6371C" w:rsidRPr="005A12C0" w:rsidRDefault="00F6371C" w:rsidP="00CD30C6">
      <w:pPr>
        <w:jc w:val="both"/>
        <w:rPr>
          <w:rFonts w:ascii="Arial" w:hAnsi="Arial" w:cs="Arial"/>
          <w:sz w:val="22"/>
          <w:szCs w:val="22"/>
          <w:lang w:val="eu-ES"/>
        </w:rPr>
      </w:pPr>
    </w:p>
    <w:p w14:paraId="69D46C2F" w14:textId="344C7BA6" w:rsidR="00A32C23" w:rsidRPr="005A12C0" w:rsidRDefault="00A32C23" w:rsidP="00CD30C6">
      <w:pPr>
        <w:jc w:val="both"/>
        <w:rPr>
          <w:rFonts w:ascii="Arial" w:hAnsi="Arial" w:cs="Arial"/>
          <w:sz w:val="22"/>
          <w:szCs w:val="22"/>
          <w:lang w:val="eu-ES"/>
        </w:rPr>
      </w:pPr>
      <w:r w:rsidRPr="005A12C0">
        <w:rPr>
          <w:rFonts w:ascii="Arial" w:hAnsi="Arial" w:cs="Arial"/>
          <w:sz w:val="22"/>
          <w:szCs w:val="22"/>
          <w:lang w:val="eu-ES"/>
        </w:rPr>
        <w:t>Gobernu Kontseiluaren 2017ko abenduaren 12ko Erabakiaren bidez, Xedapen Orokorrak Egiteko Prozeduraren aplikazioari buruzko Jarraibideak onartu ziren. Jarraibide horietan, besteak beste, Administrazio Publikoen Administrazio Prozedura Erkidearen urriaren 1eko 39/2015 Legearen 133. artikuluan xedatutakoa betetzeko modua jasotzen da, kontsulta publikoan eta arau-testu juridik</w:t>
      </w:r>
      <w:r w:rsidR="00B62706" w:rsidRPr="005A12C0">
        <w:rPr>
          <w:rFonts w:ascii="Arial" w:hAnsi="Arial" w:cs="Arial"/>
          <w:sz w:val="22"/>
          <w:szCs w:val="22"/>
          <w:lang w:val="eu-ES"/>
        </w:rPr>
        <w:t>oen proposamenak idatzi aurretiaz</w:t>
      </w:r>
      <w:r w:rsidRPr="005A12C0">
        <w:rPr>
          <w:rFonts w:ascii="Arial" w:hAnsi="Arial" w:cs="Arial"/>
          <w:sz w:val="22"/>
          <w:szCs w:val="22"/>
          <w:lang w:val="eu-ES"/>
        </w:rPr>
        <w:t xml:space="preserve"> biltzeari dagokionez. Hala, lehenengo akordioaren 4. </w:t>
      </w:r>
      <w:r w:rsidR="00894B1F" w:rsidRPr="005A12C0">
        <w:rPr>
          <w:rFonts w:ascii="Arial" w:hAnsi="Arial" w:cs="Arial"/>
          <w:sz w:val="22"/>
          <w:szCs w:val="22"/>
          <w:lang w:val="eu-ES"/>
        </w:rPr>
        <w:t>atala</w:t>
      </w:r>
      <w:r w:rsidRPr="005A12C0">
        <w:rPr>
          <w:rFonts w:ascii="Arial" w:hAnsi="Arial" w:cs="Arial"/>
          <w:sz w:val="22"/>
          <w:szCs w:val="22"/>
          <w:lang w:val="eu-ES"/>
        </w:rPr>
        <w:t>k honako hau zehazten du:</w:t>
      </w:r>
    </w:p>
    <w:p w14:paraId="15473658" w14:textId="77777777" w:rsidR="00A32C23" w:rsidRPr="005A12C0" w:rsidRDefault="00A32C23" w:rsidP="00CD30C6">
      <w:pPr>
        <w:jc w:val="both"/>
        <w:rPr>
          <w:rFonts w:ascii="Arial" w:hAnsi="Arial" w:cs="Arial"/>
          <w:sz w:val="22"/>
          <w:szCs w:val="22"/>
          <w:lang w:val="eu-ES"/>
        </w:rPr>
      </w:pPr>
    </w:p>
    <w:p w14:paraId="67FC9DB1" w14:textId="791DD963" w:rsidR="00A32C23" w:rsidRPr="005A12C0" w:rsidRDefault="00A32C23" w:rsidP="00CD30C6">
      <w:pPr>
        <w:ind w:left="567" w:right="567"/>
        <w:jc w:val="both"/>
        <w:rPr>
          <w:rFonts w:ascii="Arial" w:hAnsi="Arial" w:cs="Arial"/>
          <w:i/>
          <w:lang w:val="eu-ES"/>
        </w:rPr>
      </w:pPr>
      <w:r w:rsidRPr="005A12C0">
        <w:rPr>
          <w:rFonts w:ascii="Arial" w:hAnsi="Arial" w:cs="Arial"/>
          <w:i/>
          <w:lang w:val="eu-ES"/>
        </w:rPr>
        <w:t>"</w:t>
      </w:r>
      <w:r w:rsidR="00894B1F" w:rsidRPr="00CD6498">
        <w:rPr>
          <w:lang w:val="eu-ES"/>
        </w:rPr>
        <w:t xml:space="preserve"> </w:t>
      </w:r>
      <w:r w:rsidR="00894B1F" w:rsidRPr="005A12C0">
        <w:rPr>
          <w:rFonts w:ascii="Arial" w:hAnsi="Arial" w:cs="Arial"/>
          <w:i/>
          <w:lang w:val="eu-ES"/>
        </w:rPr>
        <w:t>4.– Xedapen orokorraren izapidetzea sustatzen duen zuzendaritza-zentro edo -organoak, aurretiazko kontsultaren izapidea betetzeko, iragarkia jarri ahal izango du Euskal Autonomia Erkidegoko Administrazio Publikoaren egoitza elektronikoko iragarki-taulan, zeina izapidetzerako eta informazioa lortzeko gune segurua baita. Horrela, herritarrei gonbidapena egingo zaie iragarriko den informazioari buruzko iritzia eman dezaten, alderdi hauekin lotuta: arau hori onestearen premia eta egokitasuna, arauaren helburuak, ekimen horrekin konpondu nahi diren arazoak eta izan litezkeen bestelako aukera erregulatzaile eta ez-erregulatzaileak. Informazio bera Legegunean erakutsiko da, administrazio-espedienteak argitaratzeko eremua den aldetik, gardentasunari buruzko legeriatik datozen publizitate aktiboaren betebeharrak betetzeko. Informazio horri, geroago, jasotako ekarpenak gehitu beharko zaizkio, banaka edo taldeka. Aurretiazko kontsultaren izapidea ireki dela jakinarazteko bi argitalpenak modu automatizatuan egin ahal izango dira izapidetze elektronikorako Tramitagune tresnaren bidez, eta, horrela, bi eremuetan argitaratutako informazioaren koherentzia bermatuko da. Halaber, aurretiazko kontsultaren izapide honetan argitaratutako informazioa gobernu irekiaren plataformara –Irekia– eramango da, eta, hor, herritarrek Administrazioaren jardueren berri izan ahalko dute, eta euren iritziak eman ahal izango dituzte, modu erraz, ireki eta informalean. Horrez gain, argitaratutako jarduerei buruzko eztabaidak ere sortu ahal izango dira. – Irekia – plataformatik, egoitza elektronikoan argitaratutako iragarkira jotzeko aukera egongo da, eta, horri esker, modu formalean alegazioak aurkeztu ahal izango dira xedapen orokorra egiteko prozeduran. Horrela, informazioaren noranzko biko konexioa bermatuko da sarbide elektronikoko gune ezberdinen artean</w:t>
      </w:r>
      <w:r w:rsidRPr="005A12C0">
        <w:rPr>
          <w:rFonts w:ascii="Arial" w:hAnsi="Arial" w:cs="Arial"/>
          <w:i/>
          <w:lang w:val="eu-ES"/>
        </w:rPr>
        <w:t>".</w:t>
      </w:r>
    </w:p>
    <w:p w14:paraId="613A7354" w14:textId="77777777" w:rsidR="00A32C23" w:rsidRPr="005A12C0" w:rsidRDefault="00A32C23" w:rsidP="00CD30C6">
      <w:pPr>
        <w:jc w:val="both"/>
        <w:rPr>
          <w:rFonts w:ascii="Arial" w:hAnsi="Arial" w:cs="Arial"/>
          <w:sz w:val="22"/>
          <w:szCs w:val="22"/>
          <w:lang w:val="eu-ES"/>
        </w:rPr>
      </w:pPr>
    </w:p>
    <w:p w14:paraId="1A674A2A" w14:textId="3DB02302" w:rsidR="00A32C23" w:rsidRPr="005A12C0" w:rsidRDefault="00A32C23" w:rsidP="00CD30C6">
      <w:pPr>
        <w:jc w:val="both"/>
        <w:rPr>
          <w:rFonts w:ascii="Arial" w:hAnsi="Arial" w:cs="Arial"/>
          <w:sz w:val="22"/>
          <w:szCs w:val="22"/>
          <w:lang w:val="eu-ES"/>
        </w:rPr>
      </w:pPr>
      <w:r w:rsidRPr="005A12C0">
        <w:rPr>
          <w:rFonts w:ascii="Arial" w:hAnsi="Arial" w:cs="Arial"/>
          <w:sz w:val="22"/>
          <w:szCs w:val="22"/>
          <w:lang w:val="eu-ES"/>
        </w:rPr>
        <w:t xml:space="preserve">Bestalde, </w:t>
      </w:r>
      <w:r w:rsidR="0044739B" w:rsidRPr="005A12C0">
        <w:rPr>
          <w:rFonts w:ascii="Arial" w:hAnsi="Arial" w:cs="Arial"/>
          <w:sz w:val="22"/>
          <w:szCs w:val="22"/>
          <w:lang w:val="eu-ES"/>
        </w:rPr>
        <w:t>Estatuko Administrazioak eta Euskal Autonomia Erkidegoko Administrazioak osatutako Bitariko Lankidetza-Batzordearen</w:t>
      </w:r>
      <w:r w:rsidRPr="005A12C0">
        <w:rPr>
          <w:rFonts w:ascii="Arial" w:hAnsi="Arial" w:cs="Arial"/>
          <w:sz w:val="22"/>
          <w:szCs w:val="22"/>
          <w:lang w:val="eu-ES"/>
        </w:rPr>
        <w:t xml:space="preserve"> 2020ko </w:t>
      </w:r>
      <w:r w:rsidR="005A12C0" w:rsidRPr="005A12C0">
        <w:rPr>
          <w:rFonts w:ascii="Arial" w:hAnsi="Arial" w:cs="Arial"/>
          <w:sz w:val="22"/>
          <w:szCs w:val="22"/>
          <w:lang w:val="eu-ES"/>
        </w:rPr>
        <w:t>maiatzaren 11ko</w:t>
      </w:r>
      <w:r w:rsidRPr="005A12C0">
        <w:rPr>
          <w:rFonts w:ascii="Arial" w:hAnsi="Arial" w:cs="Arial"/>
          <w:sz w:val="22"/>
          <w:szCs w:val="22"/>
          <w:lang w:val="eu-ES"/>
        </w:rPr>
        <w:t xml:space="preserve"> Akordioa betez, sail honek </w:t>
      </w:r>
      <w:r w:rsidR="007A71BB" w:rsidRPr="005A12C0">
        <w:rPr>
          <w:rFonts w:ascii="Arial" w:hAnsi="Arial" w:cs="Arial"/>
          <w:sz w:val="22"/>
          <w:szCs w:val="22"/>
          <w:lang w:val="eu-ES"/>
        </w:rPr>
        <w:t xml:space="preserve">establezimendu komertzial handien lurralde antolamenduari buruzko </w:t>
      </w:r>
      <w:r w:rsidRPr="005A12C0">
        <w:rPr>
          <w:rFonts w:ascii="Arial" w:hAnsi="Arial" w:cs="Arial"/>
          <w:sz w:val="22"/>
          <w:szCs w:val="22"/>
          <w:lang w:val="eu-ES"/>
        </w:rPr>
        <w:t>ekainaren 27ko 10/2019 Legearen arau-garapena bultzatu behar du, Europar Batasuneko araudia eta oinarrizko araudia betetzen direla bermatzeko</w:t>
      </w:r>
      <w:r w:rsidR="00F512FA" w:rsidRPr="005A12C0">
        <w:rPr>
          <w:rFonts w:ascii="Arial" w:hAnsi="Arial" w:cs="Arial"/>
          <w:sz w:val="22"/>
          <w:szCs w:val="22"/>
          <w:lang w:val="eu-ES"/>
        </w:rPr>
        <w:t>.</w:t>
      </w:r>
      <w:r w:rsidR="00C67DF4" w:rsidRPr="00CD6498">
        <w:rPr>
          <w:lang w:val="eu-ES"/>
        </w:rPr>
        <w:t xml:space="preserve"> </w:t>
      </w:r>
      <w:r w:rsidR="00C67DF4" w:rsidRPr="005A12C0">
        <w:rPr>
          <w:rFonts w:ascii="Arial" w:hAnsi="Arial" w:cs="Arial"/>
          <w:sz w:val="22"/>
          <w:szCs w:val="22"/>
          <w:lang w:val="eu-ES"/>
        </w:rPr>
        <w:t>Ondoren, egokitzapen horren berri emango dio Europako Batzordeari, Zerbitzuen Zuzentarau</w:t>
      </w:r>
      <w:r w:rsidR="00227974" w:rsidRPr="005A12C0">
        <w:rPr>
          <w:rFonts w:ascii="Arial" w:hAnsi="Arial" w:cs="Arial"/>
          <w:sz w:val="22"/>
          <w:szCs w:val="22"/>
          <w:lang w:val="eu-ES"/>
        </w:rPr>
        <w:t>aren</w:t>
      </w:r>
      <w:r w:rsidR="00C67DF4" w:rsidRPr="005A12C0">
        <w:rPr>
          <w:rFonts w:ascii="Arial" w:hAnsi="Arial" w:cs="Arial"/>
          <w:sz w:val="22"/>
          <w:szCs w:val="22"/>
          <w:lang w:val="eu-ES"/>
        </w:rPr>
        <w:t xml:space="preserve"> 15.7 eta 39.5 artikuluetan aurreikusitako baldintzetan.</w:t>
      </w:r>
    </w:p>
    <w:p w14:paraId="0794EF46" w14:textId="77777777" w:rsidR="00A32C23" w:rsidRPr="005A12C0" w:rsidRDefault="00A32C23" w:rsidP="00CD30C6">
      <w:pPr>
        <w:jc w:val="both"/>
        <w:rPr>
          <w:rFonts w:ascii="Arial" w:hAnsi="Arial" w:cs="Arial"/>
          <w:sz w:val="22"/>
          <w:szCs w:val="22"/>
          <w:lang w:val="eu-ES"/>
        </w:rPr>
      </w:pPr>
    </w:p>
    <w:p w14:paraId="1D440B46" w14:textId="6FF5BA96" w:rsidR="00A14AD9" w:rsidRPr="005A12C0" w:rsidRDefault="00C11B63" w:rsidP="00CD30C6">
      <w:pPr>
        <w:jc w:val="both"/>
        <w:rPr>
          <w:rFonts w:ascii="Arial" w:hAnsi="Arial" w:cs="Arial"/>
          <w:sz w:val="22"/>
          <w:szCs w:val="22"/>
          <w:lang w:val="eu-ES"/>
        </w:rPr>
      </w:pPr>
      <w:r w:rsidRPr="005A12C0">
        <w:rPr>
          <w:rFonts w:ascii="Arial" w:hAnsi="Arial" w:cs="Arial"/>
          <w:sz w:val="22"/>
          <w:szCs w:val="22"/>
          <w:lang w:val="eu-ES"/>
        </w:rPr>
        <w:t xml:space="preserve">Azaldutako guztia kontuan hartuta, eta lehen aipatutako 133. artikuluaren 1. atalean aurreikusitakoari jarraikiz, eta araua egiteko prozeduran parte hartzea sustatzeko asmoz, arau-proiektua egin aurretik, kontsulta publikorako aldi bat irekitzen da, Euskal Autonomia Erkidegoko Administrazioaren web-atariaren bidez. Horrela, herritarrek eta etorkizuneko arauak uki ditzakeen erakunde </w:t>
      </w:r>
      <w:r w:rsidR="009E416F" w:rsidRPr="005A12C0">
        <w:rPr>
          <w:rFonts w:ascii="Arial" w:hAnsi="Arial" w:cs="Arial"/>
          <w:sz w:val="22"/>
          <w:szCs w:val="22"/>
          <w:lang w:val="eu-ES"/>
        </w:rPr>
        <w:t>nabarmen</w:t>
      </w:r>
      <w:r w:rsidRPr="005A12C0">
        <w:rPr>
          <w:rFonts w:ascii="Arial" w:hAnsi="Arial" w:cs="Arial"/>
          <w:sz w:val="22"/>
          <w:szCs w:val="22"/>
          <w:lang w:val="eu-ES"/>
        </w:rPr>
        <w:t>enek honako hauei buruz duten iritzia jaso nahi da:</w:t>
      </w:r>
    </w:p>
    <w:p w14:paraId="4103F0D2" w14:textId="77777777" w:rsidR="00A14AD9" w:rsidRPr="005A12C0" w:rsidRDefault="00A14AD9">
      <w:pPr>
        <w:rPr>
          <w:rFonts w:ascii="Arial" w:hAnsi="Arial" w:cs="Arial"/>
          <w:sz w:val="22"/>
          <w:szCs w:val="22"/>
          <w:lang w:val="eu-ES"/>
        </w:rPr>
      </w:pPr>
      <w:r w:rsidRPr="005A12C0">
        <w:rPr>
          <w:rFonts w:ascii="Arial" w:hAnsi="Arial" w:cs="Arial"/>
          <w:sz w:val="22"/>
          <w:szCs w:val="22"/>
          <w:lang w:val="eu-ES"/>
        </w:rPr>
        <w:br w:type="page"/>
      </w:r>
    </w:p>
    <w:p w14:paraId="567146AF" w14:textId="5A431C21" w:rsidR="00A32C23" w:rsidRPr="005A12C0" w:rsidRDefault="00A32C23" w:rsidP="00CD30C6">
      <w:pPr>
        <w:jc w:val="both"/>
        <w:rPr>
          <w:rFonts w:ascii="Arial" w:hAnsi="Arial" w:cs="Arial"/>
          <w:sz w:val="22"/>
          <w:szCs w:val="22"/>
          <w:lang w:val="eu-ES"/>
        </w:rPr>
      </w:pPr>
      <w:r w:rsidRPr="005A12C0">
        <w:rPr>
          <w:rFonts w:ascii="Arial" w:hAnsi="Arial" w:cs="Arial"/>
          <w:sz w:val="22"/>
          <w:szCs w:val="22"/>
          <w:lang w:val="eu-ES"/>
        </w:rPr>
        <w:lastRenderedPageBreak/>
        <w:t xml:space="preserve">1.- </w:t>
      </w:r>
      <w:r w:rsidR="00A14AD9" w:rsidRPr="005A12C0">
        <w:rPr>
          <w:rFonts w:ascii="Arial" w:hAnsi="Arial" w:cs="Arial"/>
          <w:sz w:val="22"/>
          <w:szCs w:val="22"/>
          <w:lang w:val="eu-ES"/>
        </w:rPr>
        <w:t>E</w:t>
      </w:r>
      <w:r w:rsidRPr="005A12C0">
        <w:rPr>
          <w:rFonts w:ascii="Arial" w:hAnsi="Arial" w:cs="Arial"/>
          <w:sz w:val="22"/>
          <w:szCs w:val="22"/>
          <w:lang w:val="eu-ES"/>
        </w:rPr>
        <w:t>kimenare</w:t>
      </w:r>
      <w:r w:rsidR="00150140" w:rsidRPr="005A12C0">
        <w:rPr>
          <w:rFonts w:ascii="Arial" w:hAnsi="Arial" w:cs="Arial"/>
          <w:sz w:val="22"/>
          <w:szCs w:val="22"/>
          <w:lang w:val="eu-ES"/>
        </w:rPr>
        <w:t>n bidez</w:t>
      </w:r>
      <w:r w:rsidRPr="005A12C0">
        <w:rPr>
          <w:rFonts w:ascii="Arial" w:hAnsi="Arial" w:cs="Arial"/>
          <w:sz w:val="22"/>
          <w:szCs w:val="22"/>
          <w:lang w:val="eu-ES"/>
        </w:rPr>
        <w:t xml:space="preserve"> konpondu nahi diren arazoak:</w:t>
      </w:r>
    </w:p>
    <w:p w14:paraId="52B181A3" w14:textId="77777777" w:rsidR="00A32C23" w:rsidRPr="005A12C0" w:rsidRDefault="00A32C23" w:rsidP="00CD30C6">
      <w:pPr>
        <w:jc w:val="both"/>
        <w:rPr>
          <w:rFonts w:ascii="Arial" w:hAnsi="Arial" w:cs="Arial"/>
          <w:sz w:val="22"/>
          <w:szCs w:val="22"/>
          <w:lang w:val="eu-ES"/>
        </w:rPr>
      </w:pPr>
    </w:p>
    <w:p w14:paraId="7EC730CA" w14:textId="4669BC38" w:rsidR="00A32C23" w:rsidRPr="005A12C0" w:rsidRDefault="00925572" w:rsidP="00CD30C6">
      <w:pPr>
        <w:jc w:val="both"/>
        <w:rPr>
          <w:rFonts w:ascii="Arial" w:hAnsi="Arial" w:cs="Arial"/>
          <w:sz w:val="22"/>
          <w:szCs w:val="22"/>
          <w:lang w:val="eu-ES"/>
        </w:rPr>
      </w:pPr>
      <w:r w:rsidRPr="005A12C0">
        <w:rPr>
          <w:rFonts w:ascii="Arial" w:hAnsi="Arial" w:cs="Arial"/>
          <w:sz w:val="22"/>
          <w:szCs w:val="22"/>
          <w:lang w:val="eu-ES"/>
        </w:rPr>
        <w:t xml:space="preserve">Establezimendu komertzial handien lurralde antolamenduari buruzko </w:t>
      </w:r>
      <w:r w:rsidR="00A32C23" w:rsidRPr="005A12C0">
        <w:rPr>
          <w:rFonts w:ascii="Arial" w:hAnsi="Arial" w:cs="Arial"/>
          <w:sz w:val="22"/>
          <w:szCs w:val="22"/>
          <w:lang w:val="eu-ES"/>
        </w:rPr>
        <w:t xml:space="preserve">ekainaren 27ko 10/2019 Legea indarrean jarri ondoren sortu diren eskumen-desadostasunak konpondu nahi dira, bai </w:t>
      </w:r>
      <w:r w:rsidR="00071E24" w:rsidRPr="005A12C0">
        <w:rPr>
          <w:rFonts w:ascii="Arial" w:hAnsi="Arial" w:cs="Arial"/>
          <w:sz w:val="22"/>
          <w:szCs w:val="22"/>
          <w:lang w:val="eu-ES"/>
        </w:rPr>
        <w:t>e</w:t>
      </w:r>
      <w:r w:rsidR="00A32C23" w:rsidRPr="005A12C0">
        <w:rPr>
          <w:rFonts w:ascii="Arial" w:hAnsi="Arial" w:cs="Arial"/>
          <w:sz w:val="22"/>
          <w:szCs w:val="22"/>
          <w:lang w:val="eu-ES"/>
        </w:rPr>
        <w:t>statuko oinarrizko araudiari dagokionez, bai Europar Batasuneko araudiari dagokionez.</w:t>
      </w:r>
    </w:p>
    <w:p w14:paraId="3AA7A8C6" w14:textId="77777777" w:rsidR="00A32C23" w:rsidRPr="005A12C0" w:rsidRDefault="00A32C23" w:rsidP="00CD30C6">
      <w:pPr>
        <w:jc w:val="both"/>
        <w:rPr>
          <w:rFonts w:ascii="Arial" w:hAnsi="Arial" w:cs="Arial"/>
          <w:sz w:val="22"/>
          <w:szCs w:val="22"/>
          <w:lang w:val="eu-ES"/>
        </w:rPr>
      </w:pPr>
    </w:p>
    <w:p w14:paraId="4D028347" w14:textId="77777777" w:rsidR="00A32C23" w:rsidRPr="005A12C0" w:rsidRDefault="00A32C23" w:rsidP="00CD30C6">
      <w:pPr>
        <w:jc w:val="both"/>
        <w:rPr>
          <w:rFonts w:ascii="Arial" w:hAnsi="Arial" w:cs="Arial"/>
          <w:sz w:val="22"/>
          <w:szCs w:val="22"/>
          <w:lang w:val="eu-ES"/>
        </w:rPr>
      </w:pPr>
      <w:r w:rsidRPr="005A12C0">
        <w:rPr>
          <w:rFonts w:ascii="Arial" w:hAnsi="Arial" w:cs="Arial"/>
          <w:sz w:val="22"/>
          <w:szCs w:val="22"/>
          <w:lang w:val="eu-ES"/>
        </w:rPr>
        <w:t>2. Proiektatutako erregulazioaren beharra eta horri buruz indarrean dagoen araudia.</w:t>
      </w:r>
    </w:p>
    <w:p w14:paraId="74732257" w14:textId="77777777" w:rsidR="00A32C23" w:rsidRPr="005A12C0" w:rsidRDefault="00A32C23" w:rsidP="00CD30C6">
      <w:pPr>
        <w:jc w:val="both"/>
        <w:rPr>
          <w:rFonts w:ascii="Arial" w:hAnsi="Arial" w:cs="Arial"/>
          <w:sz w:val="22"/>
          <w:szCs w:val="22"/>
          <w:lang w:val="eu-ES"/>
        </w:rPr>
      </w:pPr>
    </w:p>
    <w:p w14:paraId="7FF964DA" w14:textId="77D27F4D" w:rsidR="00A32C23" w:rsidRPr="005A12C0" w:rsidRDefault="0044739B" w:rsidP="00CD30C6">
      <w:pPr>
        <w:jc w:val="both"/>
        <w:rPr>
          <w:rFonts w:ascii="Arial" w:hAnsi="Arial" w:cs="Arial"/>
          <w:i/>
          <w:sz w:val="22"/>
          <w:szCs w:val="22"/>
          <w:lang w:val="eu-ES"/>
        </w:rPr>
      </w:pPr>
      <w:r w:rsidRPr="005A12C0">
        <w:rPr>
          <w:rFonts w:ascii="Arial" w:hAnsi="Arial" w:cs="Arial"/>
          <w:sz w:val="22"/>
          <w:szCs w:val="22"/>
          <w:lang w:val="eu-ES"/>
        </w:rPr>
        <w:t>Estatuko Administrazioak eta Euskal Autonomia Erkidegoko Administrazioak osatutako Bitariko Lankidetza-Batzordearen</w:t>
      </w:r>
      <w:r w:rsidR="00B27F2A" w:rsidRPr="005A12C0">
        <w:rPr>
          <w:rFonts w:ascii="Arial" w:hAnsi="Arial" w:cs="Arial"/>
          <w:sz w:val="22"/>
          <w:szCs w:val="22"/>
          <w:lang w:val="eu-ES"/>
        </w:rPr>
        <w:t xml:space="preserve"> 2020ko </w:t>
      </w:r>
      <w:r w:rsidR="005A12C0" w:rsidRPr="005A12C0">
        <w:rPr>
          <w:rFonts w:ascii="Arial" w:hAnsi="Arial" w:cs="Arial"/>
          <w:sz w:val="22"/>
          <w:szCs w:val="22"/>
          <w:lang w:val="eu-ES"/>
        </w:rPr>
        <w:t>maiatzaren 11ko</w:t>
      </w:r>
      <w:r w:rsidR="00A32C23" w:rsidRPr="005A12C0">
        <w:rPr>
          <w:rFonts w:ascii="Arial" w:hAnsi="Arial" w:cs="Arial"/>
          <w:sz w:val="22"/>
          <w:szCs w:val="22"/>
          <w:lang w:val="eu-ES"/>
        </w:rPr>
        <w:t xml:space="preserve"> Akordioaren 1.b) </w:t>
      </w:r>
      <w:r w:rsidR="00894B1F" w:rsidRPr="005A12C0">
        <w:rPr>
          <w:rFonts w:ascii="Arial" w:hAnsi="Arial" w:cs="Arial"/>
          <w:sz w:val="22"/>
          <w:szCs w:val="22"/>
          <w:lang w:val="eu-ES"/>
        </w:rPr>
        <w:t>atala</w:t>
      </w:r>
      <w:r w:rsidR="00A32C23" w:rsidRPr="005A12C0">
        <w:rPr>
          <w:rFonts w:ascii="Arial" w:hAnsi="Arial" w:cs="Arial"/>
          <w:sz w:val="22"/>
          <w:szCs w:val="22"/>
          <w:lang w:val="eu-ES"/>
        </w:rPr>
        <w:t>k adierazten duenez (2020ko uztailaren 20ko Euskal Herriko Agintaritzaren Aldizkarian argitaratu zen), "</w:t>
      </w:r>
      <w:r w:rsidR="00B27F2A" w:rsidRPr="005A12C0">
        <w:rPr>
          <w:rFonts w:ascii="Arial" w:hAnsi="Arial" w:cs="Arial"/>
          <w:i/>
          <w:sz w:val="22"/>
          <w:szCs w:val="22"/>
          <w:lang w:val="eu-ES"/>
        </w:rPr>
        <w:t>Euskal Autonomia Erkidegoak akordio hau sinatu eta urtebetera arauzko garapen bat bultzatuko du, bermatzeko Europar Batasuneko arauak betetzen direla, bai eta oinarrizko arauak ere, eta egokitzapen horren berri emango dio Europako Batzordeari, Zerbitzuen Zuzentarauaren 15.7 eta 39.5 artikuluetan xedatutakoaren arabera</w:t>
      </w:r>
      <w:r w:rsidR="00B27F2A" w:rsidRPr="005A12C0">
        <w:rPr>
          <w:rFonts w:ascii="Arial" w:hAnsi="Arial" w:cs="Arial"/>
          <w:sz w:val="22"/>
          <w:szCs w:val="22"/>
          <w:lang w:val="eu-ES"/>
        </w:rPr>
        <w:t>”.</w:t>
      </w:r>
    </w:p>
    <w:p w14:paraId="1D9F0C23" w14:textId="77777777" w:rsidR="00A32C23" w:rsidRPr="005A12C0" w:rsidRDefault="00A32C23" w:rsidP="00CD30C6">
      <w:pPr>
        <w:jc w:val="both"/>
        <w:rPr>
          <w:rFonts w:ascii="Arial" w:hAnsi="Arial" w:cs="Arial"/>
          <w:sz w:val="22"/>
          <w:szCs w:val="22"/>
          <w:lang w:val="eu-ES"/>
        </w:rPr>
      </w:pPr>
    </w:p>
    <w:p w14:paraId="79A167D0" w14:textId="13E0EF2E" w:rsidR="00A32C23" w:rsidRPr="005A12C0" w:rsidRDefault="00A32C23" w:rsidP="00CD30C6">
      <w:pPr>
        <w:jc w:val="both"/>
        <w:rPr>
          <w:rFonts w:ascii="Arial" w:hAnsi="Arial" w:cs="Arial"/>
          <w:sz w:val="22"/>
          <w:szCs w:val="22"/>
          <w:lang w:val="eu-ES"/>
        </w:rPr>
      </w:pPr>
      <w:r w:rsidRPr="005A12C0">
        <w:rPr>
          <w:rFonts w:ascii="Arial" w:hAnsi="Arial" w:cs="Arial"/>
          <w:sz w:val="22"/>
          <w:szCs w:val="22"/>
          <w:lang w:val="eu-ES"/>
        </w:rPr>
        <w:t xml:space="preserve">3.- </w:t>
      </w:r>
      <w:r w:rsidR="00A14AD9" w:rsidRPr="005A12C0">
        <w:rPr>
          <w:rFonts w:ascii="Arial" w:hAnsi="Arial" w:cs="Arial"/>
          <w:sz w:val="22"/>
          <w:szCs w:val="22"/>
          <w:lang w:val="eu-ES"/>
        </w:rPr>
        <w:t>A</w:t>
      </w:r>
      <w:r w:rsidRPr="005A12C0">
        <w:rPr>
          <w:rFonts w:ascii="Arial" w:hAnsi="Arial" w:cs="Arial"/>
          <w:sz w:val="22"/>
          <w:szCs w:val="22"/>
          <w:lang w:val="eu-ES"/>
        </w:rPr>
        <w:t>rauaren helburuak:</w:t>
      </w:r>
    </w:p>
    <w:p w14:paraId="4018933E" w14:textId="77777777" w:rsidR="00A32C23" w:rsidRPr="005A12C0" w:rsidRDefault="00A32C23" w:rsidP="00CD30C6">
      <w:pPr>
        <w:jc w:val="both"/>
        <w:rPr>
          <w:rFonts w:ascii="Arial" w:hAnsi="Arial" w:cs="Arial"/>
          <w:sz w:val="22"/>
          <w:szCs w:val="22"/>
          <w:lang w:val="eu-ES"/>
        </w:rPr>
      </w:pPr>
    </w:p>
    <w:p w14:paraId="61C02FE7" w14:textId="6D836E5C" w:rsidR="00A32C23" w:rsidRPr="005A12C0" w:rsidRDefault="009C7FAC" w:rsidP="00CD30C6">
      <w:pPr>
        <w:jc w:val="both"/>
        <w:rPr>
          <w:rFonts w:ascii="Arial" w:hAnsi="Arial" w:cs="Arial"/>
          <w:sz w:val="22"/>
          <w:szCs w:val="22"/>
          <w:lang w:val="eu-ES"/>
        </w:rPr>
      </w:pPr>
      <w:r w:rsidRPr="005A12C0">
        <w:rPr>
          <w:rFonts w:ascii="Arial" w:hAnsi="Arial" w:cs="Arial"/>
          <w:sz w:val="22"/>
          <w:szCs w:val="22"/>
          <w:lang w:val="eu-ES"/>
        </w:rPr>
        <w:t xml:space="preserve">Erregelamenduaren helburu nagusia izango da establezimendu komertzial handien lurralde antolamenduari buruzko ekainaren 27ko 10/2019 Legea garatzea. Horrela, Euskal Autonomia Erkidegoan merkataritza-gune handiak ezartzeko eta, hala badagokio, handitzeko esparru juridiko orokorra osatu </w:t>
      </w:r>
      <w:r w:rsidR="00822242" w:rsidRPr="005A12C0">
        <w:rPr>
          <w:rFonts w:ascii="Arial" w:hAnsi="Arial" w:cs="Arial"/>
          <w:sz w:val="22"/>
          <w:szCs w:val="22"/>
          <w:lang w:val="eu-ES"/>
        </w:rPr>
        <w:t>n</w:t>
      </w:r>
      <w:r w:rsidR="005E752A" w:rsidRPr="005A12C0">
        <w:rPr>
          <w:rFonts w:ascii="Arial" w:hAnsi="Arial" w:cs="Arial"/>
          <w:sz w:val="22"/>
          <w:szCs w:val="22"/>
          <w:lang w:val="eu-ES"/>
        </w:rPr>
        <w:t>ahi da. Hori guztia bat etorri behar</w:t>
      </w:r>
      <w:r w:rsidR="00822242" w:rsidRPr="005A12C0">
        <w:rPr>
          <w:rFonts w:ascii="Arial" w:hAnsi="Arial" w:cs="Arial"/>
          <w:sz w:val="22"/>
          <w:szCs w:val="22"/>
          <w:lang w:val="eu-ES"/>
        </w:rPr>
        <w:t xml:space="preserve"> da</w:t>
      </w:r>
      <w:r w:rsidRPr="005A12C0">
        <w:rPr>
          <w:rFonts w:ascii="Arial" w:hAnsi="Arial" w:cs="Arial"/>
          <w:sz w:val="22"/>
          <w:szCs w:val="22"/>
          <w:lang w:val="eu-ES"/>
        </w:rPr>
        <w:t xml:space="preserve"> barne-merkatuko zerbitzuei buruzko Europako Parlamentuaren eta Kontseiluaren 2006ko abenduaren 12ko 2006/123/EE Zuzentarauarekin eta zerbitzu-jardueretan askatasunez sartu eta aritzeari buruzko azaroaren 23ko 17/2009 Legearekin.</w:t>
      </w:r>
    </w:p>
    <w:p w14:paraId="47113879" w14:textId="77777777" w:rsidR="009C7FAC" w:rsidRPr="005A12C0" w:rsidRDefault="009C7FAC" w:rsidP="00CD30C6">
      <w:pPr>
        <w:jc w:val="both"/>
        <w:rPr>
          <w:rFonts w:ascii="Arial" w:hAnsi="Arial" w:cs="Arial"/>
          <w:sz w:val="22"/>
          <w:szCs w:val="22"/>
          <w:lang w:val="eu-ES"/>
        </w:rPr>
      </w:pPr>
    </w:p>
    <w:p w14:paraId="24FA93E6" w14:textId="5691A4F4" w:rsidR="00A32C23" w:rsidRPr="005A12C0" w:rsidRDefault="00A32C23" w:rsidP="00CD30C6">
      <w:pPr>
        <w:jc w:val="both"/>
        <w:rPr>
          <w:rFonts w:ascii="Arial" w:hAnsi="Arial" w:cs="Arial"/>
          <w:sz w:val="22"/>
          <w:szCs w:val="22"/>
          <w:lang w:val="eu-ES"/>
        </w:rPr>
      </w:pPr>
      <w:r w:rsidRPr="005A12C0">
        <w:rPr>
          <w:rFonts w:ascii="Arial" w:hAnsi="Arial" w:cs="Arial"/>
          <w:sz w:val="22"/>
          <w:szCs w:val="22"/>
          <w:lang w:val="eu-ES"/>
        </w:rPr>
        <w:t xml:space="preserve">4.- </w:t>
      </w:r>
      <w:r w:rsidR="00A14AD9" w:rsidRPr="005A12C0">
        <w:rPr>
          <w:rFonts w:ascii="Arial" w:hAnsi="Arial" w:cs="Arial"/>
          <w:sz w:val="22"/>
          <w:szCs w:val="22"/>
          <w:lang w:val="eu-ES"/>
        </w:rPr>
        <w:t>E</w:t>
      </w:r>
      <w:r w:rsidRPr="005A12C0">
        <w:rPr>
          <w:rFonts w:ascii="Arial" w:hAnsi="Arial" w:cs="Arial"/>
          <w:sz w:val="22"/>
          <w:szCs w:val="22"/>
          <w:lang w:val="eu-ES"/>
        </w:rPr>
        <w:t>gon daitezkeen bestelako aukera erregulatzaileak eta ez-erregulatzaileak.</w:t>
      </w:r>
    </w:p>
    <w:p w14:paraId="3C08B65F" w14:textId="77777777" w:rsidR="00A32C23" w:rsidRPr="005A12C0" w:rsidRDefault="00A32C23" w:rsidP="00CD30C6">
      <w:pPr>
        <w:jc w:val="both"/>
        <w:rPr>
          <w:rFonts w:ascii="Arial" w:hAnsi="Arial" w:cs="Arial"/>
          <w:sz w:val="22"/>
          <w:szCs w:val="22"/>
          <w:lang w:val="eu-ES"/>
        </w:rPr>
      </w:pPr>
    </w:p>
    <w:p w14:paraId="35492FDB" w14:textId="5600B7D1" w:rsidR="00A32C23" w:rsidRPr="005A12C0" w:rsidRDefault="00A32C23" w:rsidP="00CD30C6">
      <w:pPr>
        <w:jc w:val="both"/>
        <w:rPr>
          <w:rFonts w:ascii="Arial" w:hAnsi="Arial" w:cs="Arial"/>
          <w:sz w:val="22"/>
          <w:szCs w:val="22"/>
          <w:lang w:val="eu-ES"/>
        </w:rPr>
      </w:pPr>
      <w:r w:rsidRPr="005A12C0">
        <w:rPr>
          <w:rFonts w:ascii="Arial" w:hAnsi="Arial" w:cs="Arial"/>
          <w:sz w:val="22"/>
          <w:szCs w:val="22"/>
          <w:lang w:val="eu-ES"/>
        </w:rPr>
        <w:t>Aurreko atal</w:t>
      </w:r>
      <w:r w:rsidR="00071E24" w:rsidRPr="005A12C0">
        <w:rPr>
          <w:rFonts w:ascii="Arial" w:hAnsi="Arial" w:cs="Arial"/>
          <w:sz w:val="22"/>
          <w:szCs w:val="22"/>
          <w:lang w:val="eu-ES"/>
        </w:rPr>
        <w:t xml:space="preserve">etan azaldutako inguruabarrak, </w:t>
      </w:r>
      <w:r w:rsidR="0044739B" w:rsidRPr="005A12C0">
        <w:rPr>
          <w:rFonts w:ascii="Arial" w:hAnsi="Arial" w:cs="Arial"/>
          <w:sz w:val="22"/>
          <w:szCs w:val="22"/>
          <w:lang w:val="eu-ES"/>
        </w:rPr>
        <w:t>Estatuko Administrazioak eta Euskal Autonomia Erkidegoko Administrazioak osatutako Bitariko Lankidetza-Batzordearen</w:t>
      </w:r>
      <w:r w:rsidRPr="005A12C0">
        <w:rPr>
          <w:rFonts w:ascii="Arial" w:hAnsi="Arial" w:cs="Arial"/>
          <w:sz w:val="22"/>
          <w:szCs w:val="22"/>
          <w:lang w:val="eu-ES"/>
        </w:rPr>
        <w:t xml:space="preserve"> 2020ko </w:t>
      </w:r>
      <w:r w:rsidR="005A12C0" w:rsidRPr="005A12C0">
        <w:rPr>
          <w:rFonts w:ascii="Arial" w:hAnsi="Arial" w:cs="Arial"/>
          <w:sz w:val="22"/>
          <w:szCs w:val="22"/>
          <w:lang w:val="eu-ES"/>
        </w:rPr>
        <w:t>maiatzaren 11ko</w:t>
      </w:r>
      <w:r w:rsidRPr="005A12C0">
        <w:rPr>
          <w:rFonts w:ascii="Arial" w:hAnsi="Arial" w:cs="Arial"/>
          <w:sz w:val="22"/>
          <w:szCs w:val="22"/>
          <w:lang w:val="eu-ES"/>
        </w:rPr>
        <w:t xml:space="preserve"> akordiotik eratorriak, eta egungo arazoen irismena kontuan hartuta, dekretu-proiektu hau egitea nahitaezkoa da Euskal Autonomia Erkidegorako.</w:t>
      </w:r>
    </w:p>
    <w:p w14:paraId="53BDBA20" w14:textId="77777777" w:rsidR="00A32C23" w:rsidRPr="005A12C0" w:rsidRDefault="00A32C23" w:rsidP="00CD30C6">
      <w:pPr>
        <w:jc w:val="both"/>
        <w:rPr>
          <w:rFonts w:ascii="Arial" w:hAnsi="Arial" w:cs="Arial"/>
          <w:sz w:val="22"/>
          <w:szCs w:val="22"/>
          <w:lang w:val="eu-ES"/>
        </w:rPr>
      </w:pPr>
    </w:p>
    <w:p w14:paraId="309A4819" w14:textId="77777777" w:rsidR="00A32C23" w:rsidRPr="005A12C0" w:rsidRDefault="00A32C23" w:rsidP="00CD30C6">
      <w:pPr>
        <w:jc w:val="both"/>
        <w:rPr>
          <w:rFonts w:ascii="Arial" w:hAnsi="Arial" w:cs="Arial"/>
          <w:sz w:val="22"/>
          <w:szCs w:val="22"/>
          <w:lang w:val="eu-ES"/>
        </w:rPr>
      </w:pPr>
    </w:p>
    <w:p w14:paraId="29CCC532" w14:textId="77777777" w:rsidR="00A32C23" w:rsidRPr="005A12C0" w:rsidRDefault="00A32C23" w:rsidP="00CD30C6">
      <w:pPr>
        <w:jc w:val="both"/>
        <w:rPr>
          <w:rFonts w:ascii="Arial" w:hAnsi="Arial" w:cs="Arial"/>
          <w:sz w:val="22"/>
          <w:szCs w:val="22"/>
          <w:lang w:val="eu-ES"/>
        </w:rPr>
      </w:pPr>
    </w:p>
    <w:p w14:paraId="2FB5C809" w14:textId="10C8F812" w:rsidR="00A32C23" w:rsidRPr="005A12C0" w:rsidRDefault="00A32C23" w:rsidP="00CD30C6">
      <w:pPr>
        <w:jc w:val="center"/>
        <w:rPr>
          <w:rFonts w:ascii="Arial" w:hAnsi="Arial" w:cs="Arial"/>
          <w:sz w:val="22"/>
          <w:szCs w:val="22"/>
          <w:lang w:val="eu-ES"/>
        </w:rPr>
      </w:pPr>
      <w:r w:rsidRPr="005A12C0">
        <w:rPr>
          <w:rFonts w:ascii="Arial" w:hAnsi="Arial" w:cs="Arial"/>
          <w:sz w:val="22"/>
          <w:szCs w:val="22"/>
          <w:lang w:val="eu-ES"/>
        </w:rPr>
        <w:t>Vitoria-Gasteiz</w:t>
      </w:r>
    </w:p>
    <w:p w14:paraId="6BC7D5F0" w14:textId="2F01007C" w:rsidR="00A32C23" w:rsidRPr="005A12C0" w:rsidRDefault="00512C24" w:rsidP="00CD30C6">
      <w:pPr>
        <w:jc w:val="center"/>
        <w:rPr>
          <w:rFonts w:ascii="Arial" w:hAnsi="Arial" w:cs="Arial"/>
          <w:sz w:val="22"/>
          <w:szCs w:val="22"/>
          <w:lang w:val="eu-ES"/>
        </w:rPr>
      </w:pPr>
      <w:r w:rsidRPr="005A12C0">
        <w:rPr>
          <w:rFonts w:ascii="Arial" w:hAnsi="Arial" w:cs="Arial"/>
          <w:sz w:val="22"/>
          <w:szCs w:val="22"/>
          <w:lang w:val="eu-ES"/>
        </w:rPr>
        <w:t>Lurralde Plangintzaren eta Hiri Agendaren zuzendaria</w:t>
      </w:r>
    </w:p>
    <w:p w14:paraId="6C673BC4" w14:textId="77777777" w:rsidR="00A32C23" w:rsidRPr="005A12C0" w:rsidRDefault="00A32C23" w:rsidP="00CD30C6">
      <w:pPr>
        <w:jc w:val="center"/>
        <w:rPr>
          <w:rFonts w:ascii="Arial" w:hAnsi="Arial" w:cs="Arial"/>
          <w:sz w:val="22"/>
          <w:szCs w:val="22"/>
          <w:lang w:val="eu-ES"/>
        </w:rPr>
      </w:pPr>
    </w:p>
    <w:p w14:paraId="4F6CB77A" w14:textId="08E1752D" w:rsidR="00A32C23" w:rsidRDefault="00A32C23" w:rsidP="00CD30C6">
      <w:pPr>
        <w:jc w:val="center"/>
        <w:rPr>
          <w:rFonts w:ascii="Arial" w:hAnsi="Arial" w:cs="Arial"/>
          <w:sz w:val="22"/>
          <w:szCs w:val="22"/>
          <w:lang w:val="eu-ES"/>
        </w:rPr>
      </w:pPr>
    </w:p>
    <w:p w14:paraId="4C590063" w14:textId="2E7C866C" w:rsidR="00F6371C" w:rsidRDefault="00F6371C" w:rsidP="00CD30C6">
      <w:pPr>
        <w:jc w:val="center"/>
        <w:rPr>
          <w:rFonts w:ascii="Arial" w:hAnsi="Arial" w:cs="Arial"/>
          <w:sz w:val="22"/>
          <w:szCs w:val="22"/>
          <w:lang w:val="eu-ES"/>
        </w:rPr>
      </w:pPr>
    </w:p>
    <w:p w14:paraId="7A3DB7BF" w14:textId="77777777" w:rsidR="00F6371C" w:rsidRPr="005A12C0" w:rsidRDefault="00F6371C" w:rsidP="00CD30C6">
      <w:pPr>
        <w:jc w:val="center"/>
        <w:rPr>
          <w:rFonts w:ascii="Arial" w:hAnsi="Arial" w:cs="Arial"/>
          <w:sz w:val="22"/>
          <w:szCs w:val="22"/>
          <w:lang w:val="eu-ES"/>
        </w:rPr>
      </w:pPr>
      <w:bookmarkStart w:id="0" w:name="_GoBack"/>
      <w:bookmarkEnd w:id="0"/>
    </w:p>
    <w:p w14:paraId="18C7A51B" w14:textId="77777777" w:rsidR="00A32C23" w:rsidRPr="005A12C0" w:rsidRDefault="00A32C23" w:rsidP="00CD30C6">
      <w:pPr>
        <w:jc w:val="center"/>
        <w:rPr>
          <w:rFonts w:ascii="Arial" w:hAnsi="Arial" w:cs="Arial"/>
          <w:sz w:val="22"/>
          <w:szCs w:val="22"/>
          <w:lang w:val="eu-ES"/>
        </w:rPr>
      </w:pPr>
    </w:p>
    <w:p w14:paraId="3E15B1DC" w14:textId="2E41EF14" w:rsidR="00A32C23" w:rsidRPr="005A12C0" w:rsidRDefault="00A14AD9" w:rsidP="00CD30C6">
      <w:pPr>
        <w:jc w:val="center"/>
        <w:rPr>
          <w:rFonts w:ascii="Arial" w:hAnsi="Arial" w:cs="Arial"/>
          <w:sz w:val="22"/>
          <w:szCs w:val="22"/>
          <w:lang w:val="eu-ES"/>
        </w:rPr>
      </w:pPr>
      <w:r w:rsidRPr="005A12C0">
        <w:rPr>
          <w:rFonts w:ascii="Arial" w:hAnsi="Arial" w:cs="Arial"/>
          <w:sz w:val="22"/>
          <w:szCs w:val="22"/>
          <w:lang w:val="eu-ES"/>
        </w:rPr>
        <w:t>IGNACIO DE LA PUERTA RUEDA</w:t>
      </w:r>
    </w:p>
    <w:p w14:paraId="61550F79" w14:textId="77777777" w:rsidR="00A32C23" w:rsidRPr="005A12C0" w:rsidRDefault="00A32C23" w:rsidP="00CD30C6">
      <w:pPr>
        <w:jc w:val="center"/>
        <w:rPr>
          <w:rFonts w:ascii="Arial" w:hAnsi="Arial" w:cs="Arial"/>
          <w:sz w:val="22"/>
          <w:szCs w:val="22"/>
          <w:lang w:val="eu-ES"/>
        </w:rPr>
      </w:pPr>
    </w:p>
    <w:p w14:paraId="173F8AE6" w14:textId="77777777" w:rsidR="00A32C23" w:rsidRPr="005A12C0" w:rsidRDefault="00A32C23" w:rsidP="00CD30C6">
      <w:pPr>
        <w:jc w:val="both"/>
        <w:rPr>
          <w:rFonts w:ascii="Arial" w:hAnsi="Arial" w:cs="Arial"/>
          <w:sz w:val="22"/>
          <w:szCs w:val="22"/>
          <w:lang w:val="eu-ES"/>
        </w:rPr>
      </w:pPr>
    </w:p>
    <w:p w14:paraId="7BC04948" w14:textId="77777777" w:rsidR="00A32C23" w:rsidRPr="005A12C0" w:rsidRDefault="00A32C23" w:rsidP="00CD30C6">
      <w:pPr>
        <w:jc w:val="both"/>
        <w:rPr>
          <w:rFonts w:ascii="Arial" w:hAnsi="Arial" w:cs="Arial"/>
          <w:sz w:val="22"/>
          <w:szCs w:val="22"/>
          <w:lang w:val="eu-ES"/>
        </w:rPr>
      </w:pPr>
    </w:p>
    <w:p w14:paraId="50435005" w14:textId="77777777" w:rsidR="0028653E" w:rsidRPr="005A12C0" w:rsidRDefault="0028653E" w:rsidP="00CD30C6">
      <w:pPr>
        <w:jc w:val="both"/>
        <w:rPr>
          <w:lang w:val="eu-ES"/>
        </w:rPr>
      </w:pPr>
    </w:p>
    <w:sectPr w:rsidR="0028653E" w:rsidRPr="005A12C0" w:rsidSect="00C92780">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D9D0" w14:textId="77777777" w:rsidR="00B261B1" w:rsidRDefault="00B261B1">
      <w:r>
        <w:separator/>
      </w:r>
    </w:p>
  </w:endnote>
  <w:endnote w:type="continuationSeparator" w:id="0">
    <w:p w14:paraId="7BD9F7A1" w14:textId="77777777" w:rsidR="00B261B1" w:rsidRDefault="00B2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C369" w14:textId="77777777" w:rsidR="00C46B9C" w:rsidRDefault="00C46B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050F" w14:textId="77777777" w:rsidR="00C46B9C" w:rsidRDefault="00C46B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7B83" w14:textId="77777777" w:rsidR="00C5743C" w:rsidRPr="00C5743C" w:rsidRDefault="00C5743C">
    <w:pPr>
      <w:pStyle w:val="Piedepgina"/>
      <w:jc w:val="center"/>
      <w:rPr>
        <w:rFonts w:ascii="Arial" w:hAnsi="Arial"/>
        <w:sz w:val="13"/>
        <w:lang w:val="it-IT"/>
      </w:rPr>
    </w:pPr>
    <w:r w:rsidRPr="00C5743C">
      <w:rPr>
        <w:rFonts w:ascii="Arial" w:hAnsi="Arial"/>
        <w:sz w:val="13"/>
        <w:lang w:val="it-IT"/>
      </w:rPr>
      <w:t>Donostia – San</w:t>
    </w:r>
    <w:r w:rsidR="00915860">
      <w:rPr>
        <w:rFonts w:ascii="Arial" w:hAnsi="Arial"/>
        <w:sz w:val="13"/>
        <w:lang w:val="it-IT"/>
      </w:rPr>
      <w:t xml:space="preserve"> Sebastián, 1 – Tef. 945 01 9</w:t>
    </w:r>
    <w:r w:rsidR="00116BB0">
      <w:rPr>
        <w:rFonts w:ascii="Arial" w:hAnsi="Arial"/>
        <w:sz w:val="13"/>
        <w:lang w:val="it-IT"/>
      </w:rPr>
      <w:t>8 24</w:t>
    </w:r>
    <w:r w:rsidRPr="00C5743C">
      <w:rPr>
        <w:rFonts w:ascii="Arial" w:hAnsi="Arial"/>
        <w:sz w:val="13"/>
        <w:lang w:val="it-IT"/>
      </w:rPr>
      <w:t xml:space="preserve"> – Fax 945 01 98 56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1158" w14:textId="77777777" w:rsidR="00B261B1" w:rsidRDefault="00B261B1">
      <w:r>
        <w:separator/>
      </w:r>
    </w:p>
  </w:footnote>
  <w:footnote w:type="continuationSeparator" w:id="0">
    <w:p w14:paraId="2D9F653E" w14:textId="77777777" w:rsidR="00B261B1" w:rsidRDefault="00B2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3B94" w14:textId="77777777" w:rsidR="00C46B9C" w:rsidRDefault="00C46B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AAC3" w14:textId="77777777" w:rsidR="00C5743C" w:rsidRPr="00191945" w:rsidRDefault="00191945" w:rsidP="00191945">
    <w:pPr>
      <w:pStyle w:val="Encabezado"/>
      <w:jc w:val="center"/>
    </w:pPr>
    <w:r>
      <w:rPr>
        <w:noProof/>
        <w:lang w:val="es-ES" w:eastAsia="es-ES"/>
      </w:rPr>
      <w:drawing>
        <wp:inline distT="0" distB="0" distL="0" distR="0" wp14:anchorId="71274FE7" wp14:editId="0C31406A">
          <wp:extent cx="2520000" cy="316800"/>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emf"/>
                  <pic:cNvPicPr/>
                </pic:nvPicPr>
                <pic:blipFill>
                  <a:blip r:embed="rId1">
                    <a:extLst>
                      <a:ext uri="{28A0092B-C50C-407E-A947-70E740481C1C}">
                        <a14:useLocalDpi xmlns:a14="http://schemas.microsoft.com/office/drawing/2010/main" val="0"/>
                      </a:ext>
                    </a:extLst>
                  </a:blip>
                  <a:stretch>
                    <a:fillRect/>
                  </a:stretch>
                </pic:blipFill>
                <pic:spPr>
                  <a:xfrm>
                    <a:off x="0" y="0"/>
                    <a:ext cx="2520000" cy="31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AF96" w14:textId="77777777" w:rsidR="00C5743C" w:rsidRPr="00EE6AE1" w:rsidRDefault="00C46B9C" w:rsidP="00EE6AE1">
    <w:pPr>
      <w:pStyle w:val="Encabezado"/>
      <w:tabs>
        <w:tab w:val="clear" w:pos="4819"/>
        <w:tab w:val="clear" w:pos="9071"/>
        <w:tab w:val="center" w:pos="4253"/>
      </w:tabs>
      <w:jc w:val="center"/>
    </w:pPr>
    <w:r w:rsidRPr="0028653E">
      <w:rPr>
        <w:noProof/>
        <w:sz w:val="16"/>
        <w:lang w:val="es-ES" w:eastAsia="es-ES"/>
      </w:rPr>
      <mc:AlternateContent>
        <mc:Choice Requires="wps">
          <w:drawing>
            <wp:anchor distT="0" distB="0" distL="114300" distR="114300" simplePos="0" relativeHeight="251661312" behindDoc="0" locked="0" layoutInCell="1" allowOverlap="1" wp14:anchorId="5880E0C6" wp14:editId="633BE398">
              <wp:simplePos x="0" y="0"/>
              <wp:positionH relativeFrom="page">
                <wp:posOffset>1990725</wp:posOffset>
              </wp:positionH>
              <wp:positionV relativeFrom="page">
                <wp:posOffset>833438</wp:posOffset>
              </wp:positionV>
              <wp:extent cx="1600200" cy="3619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C1D5" w14:textId="77777777" w:rsidR="0028653E" w:rsidRPr="0028653E" w:rsidRDefault="0028653E" w:rsidP="0028653E">
                          <w:pPr>
                            <w:pStyle w:val="Ttulo2"/>
                            <w:rPr>
                              <w:rFonts w:ascii="Century Gothic" w:hAnsi="Century Gothic"/>
                              <w:sz w:val="12"/>
                              <w:szCs w:val="12"/>
                            </w:rPr>
                          </w:pPr>
                          <w:r w:rsidRPr="0028653E">
                            <w:rPr>
                              <w:rFonts w:ascii="Century Gothic" w:hAnsi="Century Gothic"/>
                              <w:sz w:val="12"/>
                              <w:szCs w:val="12"/>
                            </w:rPr>
                            <w:t>LURRALDE PLANGINTZA, ETXEBIZITZA ETA GARRAIO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0E0C6" id="_x0000_t202" coordsize="21600,21600" o:spt="202" path="m,l,21600r21600,l21600,xe">
              <v:stroke joinstyle="miter"/>
              <v:path gradientshapeok="t" o:connecttype="rect"/>
            </v:shapetype>
            <v:shape id="Cuadro de texto 6" o:spid="_x0000_s1026" type="#_x0000_t202" style="position:absolute;left:0;text-align:left;margin-left:156.75pt;margin-top:65.65pt;width:126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" filled="f" stroked="f">
              <v:textbox>
                <w:txbxContent>
                  <w:p w14:paraId="1094C1D5" w14:textId="77777777" w:rsidR="0028653E" w:rsidRPr="0028653E" w:rsidRDefault="0028653E" w:rsidP="0028653E">
                    <w:pPr>
                      <w:pStyle w:val="Ttulo2"/>
                      <w:rPr>
                        <w:rFonts w:ascii="Century Gothic" w:hAnsi="Century Gothic"/>
                        <w:sz w:val="12"/>
                        <w:szCs w:val="12"/>
                      </w:rPr>
                    </w:pPr>
                    <w:r w:rsidRPr="0028653E">
                      <w:rPr>
                        <w:rFonts w:ascii="Century Gothic" w:hAnsi="Century Gothic"/>
                        <w:sz w:val="12"/>
                        <w:szCs w:val="12"/>
                      </w:rPr>
                      <w:t>LURRALDE PLANGINTZA, ETXEBIZITZA ETA GARRAIO SAILA</w:t>
                    </w:r>
                  </w:p>
                </w:txbxContent>
              </v:textbox>
              <w10:wrap anchorx="page" anchory="page"/>
            </v:shape>
          </w:pict>
        </mc:Fallback>
      </mc:AlternateContent>
    </w:r>
    <w:r w:rsidRPr="0028653E">
      <w:rPr>
        <w:noProof/>
        <w:sz w:val="24"/>
        <w:lang w:val="es-ES" w:eastAsia="es-ES"/>
      </w:rPr>
      <mc:AlternateContent>
        <mc:Choice Requires="wps">
          <w:drawing>
            <wp:anchor distT="0" distB="0" distL="114300" distR="114300" simplePos="0" relativeHeight="251659264" behindDoc="0" locked="0" layoutInCell="1" allowOverlap="1" wp14:anchorId="0B972BFE" wp14:editId="417F66B8">
              <wp:simplePos x="0" y="0"/>
              <wp:positionH relativeFrom="page">
                <wp:posOffset>4024313</wp:posOffset>
              </wp:positionH>
              <wp:positionV relativeFrom="page">
                <wp:posOffset>833439</wp:posOffset>
              </wp:positionV>
              <wp:extent cx="1594485" cy="3619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C400" w14:textId="77777777" w:rsidR="0028653E" w:rsidRPr="0028653E" w:rsidRDefault="0028653E" w:rsidP="0028653E">
                          <w:pPr>
                            <w:pStyle w:val="Ttulo2"/>
                            <w:rPr>
                              <w:rFonts w:ascii="Century Gothic" w:hAnsi="Century Gothic" w:cstheme="minorHAnsi"/>
                              <w:sz w:val="12"/>
                              <w:szCs w:val="12"/>
                            </w:rPr>
                          </w:pPr>
                          <w:r w:rsidRPr="0028653E">
                            <w:rPr>
                              <w:rFonts w:ascii="Century Gothic" w:hAnsi="Century Gothic" w:cstheme="minorHAnsi"/>
                              <w:sz w:val="12"/>
                              <w:szCs w:val="12"/>
                            </w:rPr>
                            <w:t>DEPARTAMENTO DE PLANIFICACIÓN TERRITORIAL, VIVIENDA Y TRANSPORTES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2BFE" id="Cuadro de texto 5" o:spid="_x0000_s1027" type="#_x0000_t202" style="position:absolute;left:0;text-align:left;margin-left:316.9pt;margin-top:65.65pt;width:125.5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" filled="f" stroked="f">
              <v:textbox>
                <w:txbxContent>
                  <w:p w14:paraId="715BC400" w14:textId="77777777" w:rsidR="0028653E" w:rsidRPr="0028653E" w:rsidRDefault="0028653E" w:rsidP="0028653E">
                    <w:pPr>
                      <w:pStyle w:val="Ttulo2"/>
                      <w:rPr>
                        <w:rFonts w:ascii="Century Gothic" w:hAnsi="Century Gothic" w:cstheme="minorHAnsi"/>
                        <w:sz w:val="12"/>
                        <w:szCs w:val="12"/>
                      </w:rPr>
                    </w:pPr>
                    <w:r w:rsidRPr="0028653E">
                      <w:rPr>
                        <w:rFonts w:ascii="Century Gothic" w:hAnsi="Century Gothic" w:cstheme="minorHAnsi"/>
                        <w:sz w:val="12"/>
                        <w:szCs w:val="12"/>
                      </w:rPr>
                      <w:t>DEPARTAMENTO DE PLANIFICACIÓN TERRITORIAL, VIVIENDA Y TRANSPORTES</w:t>
                    </w:r>
                  </w:p>
                </w:txbxContent>
              </v:textbox>
              <w10:wrap anchorx="page" anchory="page"/>
            </v:shape>
          </w:pict>
        </mc:Fallback>
      </mc:AlternateContent>
    </w:r>
    <w:r w:rsidR="007C2C68" w:rsidRPr="007C2C68">
      <w:rPr>
        <w:rFonts w:ascii="Arial" w:hAnsi="Arial"/>
        <w:noProof/>
        <w:sz w:val="16"/>
        <w:szCs w:val="24"/>
        <w:lang w:val="es-ES" w:eastAsia="es-ES"/>
      </w:rPr>
      <w:object w:dxaOrig="18028" w:dyaOrig="2235" w14:anchorId="4F948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pt;height:36.9pt" fillcolor="window">
          <v:imagedata r:id="rId1" o:title=""/>
        </v:shape>
        <o:OLEObject Type="Embed" ProgID="MSPhotoEd.3" ShapeID="_x0000_i1025" DrawAspect="Content" ObjectID="_167491166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C2"/>
    <w:rsid w:val="000426F2"/>
    <w:rsid w:val="00045AED"/>
    <w:rsid w:val="00071E24"/>
    <w:rsid w:val="00085010"/>
    <w:rsid w:val="00094EF5"/>
    <w:rsid w:val="000C7B57"/>
    <w:rsid w:val="00102ABA"/>
    <w:rsid w:val="00104873"/>
    <w:rsid w:val="001104A9"/>
    <w:rsid w:val="00116BB0"/>
    <w:rsid w:val="001319CB"/>
    <w:rsid w:val="00150140"/>
    <w:rsid w:val="00191945"/>
    <w:rsid w:val="001C22CA"/>
    <w:rsid w:val="001F794C"/>
    <w:rsid w:val="00205901"/>
    <w:rsid w:val="00210166"/>
    <w:rsid w:val="00227974"/>
    <w:rsid w:val="0028653E"/>
    <w:rsid w:val="002932E3"/>
    <w:rsid w:val="00294EE0"/>
    <w:rsid w:val="002A745C"/>
    <w:rsid w:val="002B35D1"/>
    <w:rsid w:val="00304BC1"/>
    <w:rsid w:val="003522F8"/>
    <w:rsid w:val="00384418"/>
    <w:rsid w:val="003A08A5"/>
    <w:rsid w:val="003C2063"/>
    <w:rsid w:val="003C3AC4"/>
    <w:rsid w:val="003D6AE1"/>
    <w:rsid w:val="003E7FE5"/>
    <w:rsid w:val="00434AFC"/>
    <w:rsid w:val="0044739B"/>
    <w:rsid w:val="004779D8"/>
    <w:rsid w:val="004C53C2"/>
    <w:rsid w:val="00512C24"/>
    <w:rsid w:val="00531131"/>
    <w:rsid w:val="0056575A"/>
    <w:rsid w:val="00575F4D"/>
    <w:rsid w:val="0058380E"/>
    <w:rsid w:val="00586AE8"/>
    <w:rsid w:val="00594C36"/>
    <w:rsid w:val="00597B26"/>
    <w:rsid w:val="005A12C0"/>
    <w:rsid w:val="005E752A"/>
    <w:rsid w:val="005F64A6"/>
    <w:rsid w:val="00667D1F"/>
    <w:rsid w:val="00675C1E"/>
    <w:rsid w:val="00676866"/>
    <w:rsid w:val="006F39ED"/>
    <w:rsid w:val="007A0937"/>
    <w:rsid w:val="007A52BA"/>
    <w:rsid w:val="007A71BB"/>
    <w:rsid w:val="007C2C68"/>
    <w:rsid w:val="007E2B30"/>
    <w:rsid w:val="00802D59"/>
    <w:rsid w:val="00822242"/>
    <w:rsid w:val="00886A18"/>
    <w:rsid w:val="00894B1F"/>
    <w:rsid w:val="008C4AC4"/>
    <w:rsid w:val="008D29A4"/>
    <w:rsid w:val="008E4B64"/>
    <w:rsid w:val="00915860"/>
    <w:rsid w:val="00925572"/>
    <w:rsid w:val="009906F6"/>
    <w:rsid w:val="00996F86"/>
    <w:rsid w:val="009A3DE4"/>
    <w:rsid w:val="009C7FAC"/>
    <w:rsid w:val="009D2C39"/>
    <w:rsid w:val="009E416F"/>
    <w:rsid w:val="00A14AD9"/>
    <w:rsid w:val="00A245E5"/>
    <w:rsid w:val="00A32C23"/>
    <w:rsid w:val="00A63FC7"/>
    <w:rsid w:val="00A87D93"/>
    <w:rsid w:val="00AA6D4C"/>
    <w:rsid w:val="00AC51AC"/>
    <w:rsid w:val="00AE22AC"/>
    <w:rsid w:val="00AE5848"/>
    <w:rsid w:val="00B0323A"/>
    <w:rsid w:val="00B261B1"/>
    <w:rsid w:val="00B27F2A"/>
    <w:rsid w:val="00B33757"/>
    <w:rsid w:val="00B62706"/>
    <w:rsid w:val="00B7107F"/>
    <w:rsid w:val="00B8722E"/>
    <w:rsid w:val="00BC6E95"/>
    <w:rsid w:val="00C0185A"/>
    <w:rsid w:val="00C11B63"/>
    <w:rsid w:val="00C15EBC"/>
    <w:rsid w:val="00C16242"/>
    <w:rsid w:val="00C20F4E"/>
    <w:rsid w:val="00C27421"/>
    <w:rsid w:val="00C46B9C"/>
    <w:rsid w:val="00C5743C"/>
    <w:rsid w:val="00C60E91"/>
    <w:rsid w:val="00C66388"/>
    <w:rsid w:val="00C67DF4"/>
    <w:rsid w:val="00C82E97"/>
    <w:rsid w:val="00C92780"/>
    <w:rsid w:val="00CB78EF"/>
    <w:rsid w:val="00CD30C6"/>
    <w:rsid w:val="00CD6498"/>
    <w:rsid w:val="00D66C69"/>
    <w:rsid w:val="00D76909"/>
    <w:rsid w:val="00D8283E"/>
    <w:rsid w:val="00DB047B"/>
    <w:rsid w:val="00DE4F84"/>
    <w:rsid w:val="00DF0C4E"/>
    <w:rsid w:val="00E12993"/>
    <w:rsid w:val="00E24BAB"/>
    <w:rsid w:val="00E47EB5"/>
    <w:rsid w:val="00EA3BF1"/>
    <w:rsid w:val="00EC604F"/>
    <w:rsid w:val="00EE6AE1"/>
    <w:rsid w:val="00F21726"/>
    <w:rsid w:val="00F2575B"/>
    <w:rsid w:val="00F346AB"/>
    <w:rsid w:val="00F41613"/>
    <w:rsid w:val="00F512FA"/>
    <w:rsid w:val="00F6371C"/>
    <w:rsid w:val="00F8107B"/>
    <w:rsid w:val="00FE144D"/>
    <w:rsid w:val="00FE6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8BBDC5A"/>
  <w15:docId w15:val="{65056FC0-AB50-4ED8-BF51-A3D0A7A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CA"/>
    <w:rPr>
      <w:lang w:val="es-ES_tradnl" w:eastAsia="es-ES_tradnl"/>
    </w:rPr>
  </w:style>
  <w:style w:type="paragraph" w:styleId="Ttulo2">
    <w:name w:val="heading 2"/>
    <w:basedOn w:val="Normal"/>
    <w:next w:val="Normal"/>
    <w:link w:val="Ttulo2Car"/>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5743C"/>
    <w:pPr>
      <w:tabs>
        <w:tab w:val="center" w:pos="4819"/>
        <w:tab w:val="right" w:pos="9071"/>
      </w:tabs>
    </w:pPr>
  </w:style>
  <w:style w:type="paragraph" w:styleId="Encabezado">
    <w:name w:val="header"/>
    <w:basedOn w:val="Normal"/>
    <w:link w:val="EncabezadoCar"/>
    <w:rsid w:val="00C5743C"/>
    <w:pPr>
      <w:tabs>
        <w:tab w:val="center" w:pos="4819"/>
        <w:tab w:val="right" w:pos="9071"/>
      </w:tabs>
    </w:pPr>
  </w:style>
  <w:style w:type="paragraph" w:styleId="Textodeglobo">
    <w:name w:val="Balloon Text"/>
    <w:basedOn w:val="Normal"/>
    <w:link w:val="TextodegloboCar"/>
    <w:rsid w:val="00191945"/>
    <w:rPr>
      <w:rFonts w:ascii="Tahoma" w:hAnsi="Tahoma" w:cs="Tahoma"/>
      <w:sz w:val="16"/>
      <w:szCs w:val="16"/>
    </w:rPr>
  </w:style>
  <w:style w:type="character" w:customStyle="1" w:styleId="TextodegloboCar">
    <w:name w:val="Texto de globo Car"/>
    <w:basedOn w:val="Fuentedeprrafopredeter"/>
    <w:link w:val="Textodeglobo"/>
    <w:rsid w:val="00191945"/>
    <w:rPr>
      <w:rFonts w:ascii="Tahoma" w:hAnsi="Tahoma" w:cs="Tahoma"/>
      <w:sz w:val="16"/>
      <w:szCs w:val="16"/>
    </w:rPr>
  </w:style>
  <w:style w:type="character" w:customStyle="1" w:styleId="Ttulo2Car">
    <w:name w:val="Título 2 Car"/>
    <w:basedOn w:val="Fuentedeprrafopredeter"/>
    <w:link w:val="Ttulo2"/>
    <w:rsid w:val="001C22CA"/>
    <w:rPr>
      <w:rFonts w:ascii="Arial" w:hAnsi="Arial"/>
      <w:b/>
      <w:sz w:val="14"/>
      <w:szCs w:val="24"/>
    </w:rPr>
  </w:style>
  <w:style w:type="character" w:customStyle="1" w:styleId="EncabezadoCar">
    <w:name w:val="Encabezado Car"/>
    <w:basedOn w:val="Fuentedeprrafopredeter"/>
    <w:link w:val="Encabezado"/>
    <w:rsid w:val="001C2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6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TIROD\Documents\Plantillas%20personalizadas%20de%20Office\2020%2009%20Departamento%20XII%20legislatu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09B044BC0C823489801D61625FF8CCB" ma:contentTypeVersion="12" ma:contentTypeDescription="Crear nuevo documento." ma:contentTypeScope="" ma:versionID="6f8655b7d318b49e730ef083346b5a6c">
  <xsd:schema xmlns:xsd="http://www.w3.org/2001/XMLSchema" xmlns:xs="http://www.w3.org/2001/XMLSchema" xmlns:p="http://schemas.microsoft.com/office/2006/metadata/properties" xmlns:ns2="be5c43cf-2513-446e-a480-fb319f6d8bf9" xmlns:ns3="e4a0d936-7a05-4486-a67f-407522af9f8a" targetNamespace="http://schemas.microsoft.com/office/2006/metadata/properties" ma:root="true" ma:fieldsID="13fd46e20cd9a85b4c1b7db9a6ce13b2" ns2:_="" ns3:_="">
    <xsd:import namespace="be5c43cf-2513-446e-a480-fb319f6d8bf9"/>
    <xsd:import namespace="e4a0d936-7a05-4486-a67f-407522af9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43cf-2513-446e-a480-fb319f6d8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0d936-7a05-4486-a67f-407522af9f8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21C40-183C-470D-9E21-D7C3BCD93AC8}">
  <ds:schemaRefs>
    <ds:schemaRef ds:uri="http://schemas.microsoft.com/sharepoint/v3/contenttype/forms"/>
  </ds:schemaRefs>
</ds:datastoreItem>
</file>

<file path=customXml/itemProps2.xml><?xml version="1.0" encoding="utf-8"?>
<ds:datastoreItem xmlns:ds="http://schemas.openxmlformats.org/officeDocument/2006/customXml" ds:itemID="{7CE76449-CB91-4BC6-910B-070BD908A1B4}">
  <ds:schemaRefs>
    <ds:schemaRef ds:uri="http://schemas.microsoft.com/office/2006/metadata/properties"/>
    <ds:schemaRef ds:uri="http://purl.org/dc/elements/1.1/"/>
    <ds:schemaRef ds:uri="e4a0d936-7a05-4486-a67f-407522af9f8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e5c43cf-2513-446e-a480-fb319f6d8bf9"/>
    <ds:schemaRef ds:uri="http://www.w3.org/XML/1998/namespace"/>
    <ds:schemaRef ds:uri="http://purl.org/dc/dcmitype/"/>
  </ds:schemaRefs>
</ds:datastoreItem>
</file>

<file path=customXml/itemProps3.xml><?xml version="1.0" encoding="utf-8"?>
<ds:datastoreItem xmlns:ds="http://schemas.openxmlformats.org/officeDocument/2006/customXml" ds:itemID="{5233F5BD-5A4E-4FA4-AD3D-DD65C410A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43cf-2513-446e-a480-fb319f6d8bf9"/>
    <ds:schemaRef ds:uri="e4a0d936-7a05-4486-a67f-407522af9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09 Departamento XII legislatura.dotx</Template>
  <TotalTime>47</TotalTime>
  <Pages>2</Pages>
  <Words>860</Words>
  <Characters>4732</Characters>
  <Application>Microsoft Office Word</Application>
  <DocSecurity>0</DocSecurity>
  <Lines>39</Lines>
  <Paragraphs>11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Gutiérrez Rodríguez, Marisol</dc:creator>
  <cp:lastModifiedBy>Gutiérrez Rodríguez, Marisol</cp:lastModifiedBy>
  <cp:revision>36</cp:revision>
  <cp:lastPrinted>1900-12-31T23:00:00Z</cp:lastPrinted>
  <dcterms:created xsi:type="dcterms:W3CDTF">2021-02-13T19:02:00Z</dcterms:created>
  <dcterms:modified xsi:type="dcterms:W3CDTF">2021-02-15T15:28:00Z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0x010100909B044BC0C823489801D61625FF8CCB</vt:lpwstr>
  </property>
  <property fmtid="{D5CDD505-2E9C-101B-9397-08002B2CF9AE}" pid="3" name="Order">
    <vt:r8>100</vt:r8>
  </property>
</Properties>
</file>